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poziom optymizmu przedsiębiorców na świecie. Powodem niepewność i nieprzewidywalność w globalnym handlu i wysokie stopy procentowe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- wiodący na świecie dostawca danych i analiz pozwalających na podejmowanie decyzji biznesowych, opublikowała raport Global Business Optimism Insights za II kwartał 2025 roku. Przeprowadzone w marcu br. badanie, pokazało kolejny – 1,3 proc. spadek poziomu optymizmu wśród przedsiębiorców w porównaniu z I kwartałem 2025 roku, kiedy poziom optymizmu obniżył się o 12,9 proc. Powodem jest niepewność i nieprzewidywalność w globalnym handlu, wysokie stopy procentowe i rosnący protekcjonizm państwowy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przedsiębiorcy w II kwartale 2025 roku są najbardziej pesymistycznie nastawieni spośród wszystkich 32 badanych rynków. Spadek poziomu optymizmu (-13 proc.) polskich przedsiębiorców odzwierciedla panujący od ponad pół roku niepokój w biznesie i wskazuje na ich ostrożne podejście, szczególnie w odniesieniu do inwestycji (-10 proc.), finansów (-6 proc.), i stabilności łańcuchów dostaw (-13 proc.). Każdy z tych wskaźników plasuje polskie firmy w dolnej części zastawienia.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nastrojów notuje się w krajach, w których w ostatnim czasie doszło do zmian politycznych, i w tym głównie upatruje się poprawy poziomu optymizmu. Uniemożliwienie przejęcia władzy przez skrajną prawicę w ostatnich parlamentarnych wyborach podniosło optymizm w Niemczech (+6 proc.) oraz we Francji (+9 proc.), po tym jak Sąd w Paryżu skazał 31 marca Marine Le Pen na karę czterech lat pozbawienia wolności, w tym dwóch lat w zawieszeniu, za defraudację środków publicznych, co w dużym stopniu paraliżuje działanie prawej strony sceny politycznej. Niewielkie wzrosty notuje się w Kandzie po zmianie premiera i w Izraelu po dłuższym okresie zawieszenia broni.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ze szczególną ostrożnością podchodzą do inwestycji, finansów, i stabilności łańcuchów dostaw. Największy spadek – 8,6 proc. – notuje się w obszarze globalnego zaufania finansowego przedsiębiorców. Natomiast w przypadku nastrojów związanych z bezpieczeństwem i zachowaniem stabilności łańcuchów dostaw czy planowanych inwestycji mówimy o względnej stabilizacji i spłaszczenia krzywej spadkowej.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 niepewności makroekonomicznej, rosnących kosztów prowadzenia działalności gospodarczej i słabnących prognoz, przedsiębiorstwa na całym świecie wykazują się dużym niepokojem i wysokim stopniem ostrożności w kwestii planowanych inwestycji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Neeraj Sahai, prezes Dun &amp; Bradstreet International.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warunków i zasad prowadzenia biznesu, niepewność związana z nieprzewidywalnością w ustalaniu obowiązujących taryf celnych przyczyniły się do tego, że w przypadku ponad 90 proc. badanych rynków notuje się wyraźny spadek wskaźnika zaufania do rynków finansowych. Dotyczy to w równym stopniu gospodarek wysoce rozwiniętych jak i wschodzących.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Sektory napędzane eksportem, takie jak motoryzacja, elektronika czy metalurgia, odnotowały gwałtowny spadek optymizmu biznesowego. Szczególnie w USA, Meksyku, Korei Południowej i Japonii, gdzie wyższe taryfy celne i stale zmieniająca się polityka handlowa wymusiły konieczność szukania oszczędności i nowych rynków zbytu. Ryzyko finansowe nadal pozostaje wysokie, ponieważ firmy w dalszym ciągu borykają się z wysokimi kosztami prowadzenia działalności gospodarczej, słabnącym popytem i rosnącą w wielu krajach inflacją. Globalnie poziom optymizmu w newralgicznych branżach spadł w porównaniu do poprzedniego kwartału o 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za II kwartał 2025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Optimism Index – Globalny wskaźnik optymizmu przedsiębiorców – w II kwartale 2025 roku spadł o 1,3 proc.</w:t>
      </w:r>
      <w:r>
        <w:rPr>
          <w:rFonts w:ascii="calibri" w:hAnsi="calibri" w:eastAsia="calibri" w:cs="calibri"/>
          <w:sz w:val="24"/>
          <w:szCs w:val="24"/>
        </w:rPr>
        <w:t xml:space="preserve"> Głównie w wyniku spadku o 1,7 proc. poziomu optymizmu w krajach wysokorozwiniętych. Nastroje w gospodarkach wschodzących pozostają na względnie stabilnym poziomie. Wysoka inflacja i wzrost kosztów dla 86 proc. respondentów mają największy wpływ na ich bieżącą działalność.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na całym świecie są zgodni, że zaostrzenie krajowej polityki pieniężnej stanowi poważne ryzyko dla zachowania płynności prowadzenia działalności gospodarczej. Z tym stwierdzeniem zgadza się niemal 2/3 pytanych.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Supply Chain Continuity Index – Wskaźnik globalnego zachowania bezpieczeństwa i ciągłości w łańcuchu dostaw – w II kwartale 2025 roku pozostaje na niezmiennym poziomie po gwałtownym spadku o 10,7 proc. w I kwartale br.</w:t>
      </w:r>
      <w:r>
        <w:rPr>
          <w:rFonts w:ascii="calibri" w:hAnsi="calibri" w:eastAsia="calibri" w:cs="calibri"/>
          <w:sz w:val="24"/>
          <w:szCs w:val="24"/>
        </w:rPr>
        <w:t xml:space="preserve"> Stagnacja jest konsekwencją ciągłych zakłóceń w łańcuchach dostaw, niedoboru siły roboczej, piętrzącymi się nowymi wyzwaniami, ciągłą potrzebą dostosowywania się do zmieniającej się dynamiki w globalnym handlu i rosnącym napięciem wokół nałożonych taryf celnych przez Stany Zjednoczone.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całym świecie zauważalny jest spadek poziomu optymizmu. Ogółem o 7,8 proc. Powodem jest wydłużający się czas realizacji dostaw w II kwartale br. Przy czym w krajach wysokorozwiniętych spadek poziomu optymizmu wyniósł nieco ponad 9,5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Financial Confidence Index – Wskaźnik globalnego zaufania finansowego przedsiębiorców – spadł w II kwartale br. o 8,6 proc., co odzwierciedla trudną sytuację na rynkach międzynarodowych:</w:t>
      </w:r>
      <w:r>
        <w:rPr>
          <w:rFonts w:ascii="calibri" w:hAnsi="calibri" w:eastAsia="calibri" w:cs="calibri"/>
          <w:sz w:val="24"/>
          <w:szCs w:val="24"/>
        </w:rPr>
        <w:t xml:space="preserve"> niepewność, słabe prognozy wzrostu gospodarczego, utrzymujący się wysoki koszt prowadzenia działalności i stale zmieniające się zasady w globalnym handlu.</w:t>
      </w:r>
    </w:p>
    <w:p>
      <w:r>
        <w:rPr>
          <w:rFonts w:ascii="calibri" w:hAnsi="calibri" w:eastAsia="calibri" w:cs="calibri"/>
          <w:sz w:val="24"/>
          <w:szCs w:val="24"/>
        </w:rPr>
        <w:t xml:space="preserve"> Wskaźnik zaufania finansowego spadł we wszystkich firmach niezależnie od ich wielkości. Przy czym największy spadek notuje się w przypadku tych największych firm ze Stanów Zjednoczonych. Amerykańskie przedsiębiorstwa przyznały, że ryzyko spodziewanej i wysokiej inflacji jak i wzrost stóp procentowych są największym zagrożeniem dla ich rozwoju.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Investment Confidence Index – Globalny wskaźnik zaufania do inwestycji biznesowych – spadł w porównaniu z I kwartałem br. o 0,6 proc.,</w:t>
      </w:r>
      <w:r>
        <w:rPr>
          <w:rFonts w:ascii="calibri" w:hAnsi="calibri" w:eastAsia="calibri" w:cs="calibri"/>
          <w:sz w:val="24"/>
          <w:szCs w:val="24"/>
        </w:rPr>
        <w:t xml:space="preserve"> co w dużym stopniu odzwierciedla zwiększoną niepewność i niezadowolenie z tempa obniżek stóp procentowych w 2025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69 proc. przedsiębiorców wyraziło swoje obawy w kwestii wydatków kapitałowych, co w porównaniu do I kwartału br. stanowi 77 proc. wzrost niezadowolonych i 84 proc. wzrost w zestawieniu z końcem 2024 roku. Spadek zaufania jest najbardziej widoczny w sektorach przemysłu ciężkiego, przede wszystkim w górnictwie i metalurgii. Czyli branżach, które są najbardziej narażone po nałożeniu amerykańskiego cła na aluminium i stal.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ESG – Globalny wskaźnik ESG – spadł w porównaniu do I kwartału 2025 roku o 3,3 proc., co jest pierwszym tąpnięciem od połowy 2023 roku.</w:t>
      </w:r>
      <w:r>
        <w:rPr>
          <w:rFonts w:ascii="calibri" w:hAnsi="calibri" w:eastAsia="calibri" w:cs="calibri"/>
          <w:sz w:val="24"/>
          <w:szCs w:val="24"/>
        </w:rPr>
        <w:t xml:space="preserve"> Jest to wynik słabnącego zaangażowania przedsiębiorców we wszelkie inicjatywy społeczne.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Nadal 77 proc. ankietowanych uważa, że zmiany klimatu są poważnym wyzwaniem dla współczesnego świata, a 58 proc. przyznaje, że wystąpienie katastrofy klimatycznej jest wysoce prawdopodobne.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Perspektywa wysokiej inflacji i nałożenie przez Stany Zjednoczone wysokich taryf celnych na importowane produkty, wyhamowały oczekiwania przedsiębiorców co do obniżek stóp procentowych. To w dużym stopniu wpłynie na spadek globalnego wzrostu gospodarczego i poziomu inwestycji na międzynawowych rynkach</w:t>
      </w:r>
      <w:r>
        <w:rPr>
          <w:rFonts w:ascii="calibri" w:hAnsi="calibri" w:eastAsia="calibri" w:cs="calibri"/>
          <w:sz w:val="24"/>
          <w:szCs w:val="24"/>
        </w:rPr>
        <w:t xml:space="preserve"> — powiedział Arun Singh, globalny główny ekonomista w Dun &amp; Bradstreet. Dodając, 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yzwania, z którymi mierzą się dzisiaj globalne przedsiębiorstwa, utrudniają ożywienie gospodarcze i w bezpośredni sposób wpływają na spadek odporności finansowej firm, szczególnie w przypadku dużych przedsiębiorstw, wśród których notuje się największy spadek zaufania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zawarte są na 27 stronach raportu.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Dun &amp; Bradstreet Global Business Optimism Insights Report: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Dun &amp; Bradstreet Global Business Optimism Insights: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 wyniku badania ankietowego, przeprowadzonego wśród 10 000 firm z 17 branż w 32 krajach. Na raport składają się dane wraz z szerokim komentarzem. Obie części są równie ważne i dopełniają się wzajemnie. Raport jest połączeniem pięciu indeksów, które odzwierciedlają ogólny poziom optymizmu w biznesie, oczekiwania dotyczące ciągłości trwania łańcuchów dostaw, warunków finansowych, inwestycyjnych i inicjatyw ESG. Odczyt indeksu powyżej 100 wskazuje na poprawę poziomu optymizmu. Analogicznie odczyt indeksu poniżej 100 oznacza pogorszenie optymizmu.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Dun &amp; Bradstreet: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 &amp; Bradstreet, wiodący i globalny dostawca danych i analiz pozwalających na podejmowanie lepszych decyzji biznesowych, co umożliwia firmom na całym świecie poprawę wyników. Wgląd w Data Cloud Dun &amp; Bradstreet aktywizuje i dynamizuje rozwiązania, które pozwalają klientom na wzrost przychodów, obniżenie kosztów, ograniczenie ryzyka i rozszerzenie ich działalności. Od 1841 r. niezależnie od ich wielkości, firmy na całym świecie współpracują z Dun &amp; Bradstreet, minimalizując ryzyko prowadzenia biznesu i odkrywając nowe możliwości rynkowe.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en-us/blog/financial-risk/global-optimism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2026-04-26T23:05:43+02:00</dcterms:created>
  <dcterms:modified xsi:type="dcterms:W3CDTF">2026-04-26T23:05:43+02:00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